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3,3'-二甲基-4,4'-二氨基联苯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3,3'-二甲基-4,4'-二氨基联苯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119-93-7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3,3′-二甲基联苯胺；邻联甲苯胺；3,3′-二甲基-4,4′-二氨基联苯；邻二氨基二甲基联苯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3,3′-dimethylbenzidine； 3,3′-dimethyl-[1,1′-biphenyl]-4,4′-diamine； o-tolidine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C14H16N2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212.32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用作染料、乌来糖树脂的交联剂、鉴定金及水中游离氯的试剂。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急性毒性-经口,类别4致癌性,类别2危害水生环境-急性危害,类别2危害水生环境-长期危害,类别2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吞咽有害，怀疑致癌，对水生生物有毒并具有长期持续影响。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避免接触眼睛、皮肤，操作后彻底清洗。作业场所不得进食、饮水或吸烟。得到专门指导后操作。在阅读并了解所有安全预防措施之前，切勿操作。按要求使用个体防护装备。禁止排入环境。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漱口。如果感觉不适，立即呼叫中毒控制中心或就医。如果接触或有担心，就医。收集泄漏物。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本品对眼和皮肤有刺激性。易经皮肤吸收。其毒性类似苯胺，可引起高铁血红蛋白血症。动物喂饲本品可导致肾损害甚至肾功能衰竭。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3,3'-二甲基联苯胺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119-93-7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受高热分解放出有毒的气体。燃烧生成有害的一氧化碳、氮氧化物。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，戴橡胶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防毒物渗透工作服，戴橡胶手套。远离火种、热源。工作场所严禁吸烟。使用防爆型的通风系统和设备。避免产生粉尘。避免与氧化剂、酸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储存于阴凉、通风的库房。远离火种、热源。包装密封。应与氧化剂、酸类、食用化学品分开存放，切忌混储。配备相应品种和数量的消防器材。储区应备有合适的材料收容泄漏物。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MAC()： 0.02 mg/m3 [皮][G2B]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空气中粉尘浓度较高时，佩戴过滤式防尘呼吸器。紧急事态抢救或撤离时，建议佩戴空气呼吸器。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白色至微红色有闪光的片状结晶。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129～131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300～339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2.34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不溶于水，溶于乙醇、乙醚、乙酸。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LD50：404mg/kg（大鼠经口）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微生物致突变：鼠伤寒沙门氏菌100μg/皿。姐妹染色单体交换：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兔淋巴细胞50mg/L。程序外DNA 合成：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人HeLa 细胞1 μmol/L 。DNA 损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人淋巴细胞500 μmol/L(2h) 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致癌性评论：组2B, 可疑人类致癌物。对人类致癌性证据有限，对动物致癌性证据不充分。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13mg/L(96h)（青鳉）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EC50：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4.5mg/L(48h)（水蚤）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ErC50：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6.3mg/L(72h)（羊角月牙藻）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NOEC：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0.26mg/L(21d)（水蚤）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不易快速生物降解。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水中光氧化半衰期（h）：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31.2～1740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空气中光氧化半衰期（h）：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0.267～2.67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BCF：5～10（鲤鱼，接触浓度0.02mg/L，接触时间8 周），34～83（鲤鱼，接触浓度0.2mg/L，接触时间8 周）；根据Kow 值预测，该物质的生物累积性可能较弱。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值预测，该物质可能有一定的迁移性。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建议用焚烧法处置。焚烧炉排出的氮氧化物通过洗涤器除去。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3077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对环境有害的固态物质，未另作规定的（3,3'-二甲基联苯胺）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Ⅲ类包装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苯的氨基及硝基化合物中毒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