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2,5-二氯甲苯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19398-61-9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2,5-dichlorotoluene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C7H6Cl2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161.029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禁止排入环境。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本品对黏膜和皮肤有刺激性。持续吸入高浓度蒸气可出现呼吸道炎症，甚至肺水肿。对眼有刺激作用。皮肤接触可引起红斑、大疱，或发生湿疹。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19398-61-9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遇明火能燃烧。与强氧化剂接触可发生化学反应。受高热分解放出有毒的气体。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根据液体流动和蒸气扩散的影响区域划定警戒区，无关人员从侧风、上风向撤离至安全区。消除所有点火源。建议应急处理人员戴正压自给式呼吸器，穿一般作业工作服。尽可能切断泄漏源。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储存于阴凉、通风的库房。远离火种、热源。应与氧化剂、碱类分开存放，切忌混储。配备相应品种和数量的消防器材。储区应备有泄漏应急处理设备和合适的收容材料。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197～200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102.64/200℃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不溶于水，溶于苯，可混溶于乙醇、乙醚、氯仿。</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4mg/L(96h)（鱼类）（OECD203）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1.1mg/L(48h)（大型溞）（OECD202）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1.7mg/L(72h)（羊角月牙藻）（OECD201）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BCF：1190（鲤鱼，初始浓度20mg/L），1160（鲤鱼，初始浓度2mg/L）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对环境有害的液态物质，未另做规定的（2,5-二氯甲苯）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