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108-88-3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甲苯；甲基苯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methylbenzene；Toluene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92.15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用于掺合汽油组成及作为生产甲苯衍生物、炸药、染料中间体、药物等的主要原料。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高度易燃液体和蒸气，可能引起昏昏欲睡或眩晕，吞咽及进入呼吸道可能致命。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易燃液体,类别2皮肤腐蚀/刺激,类别2生殖毒性,类别2特异性靶器官毒性-一次接触,类别3（麻醉效应）特异性靶器官毒性-反复接触,类别2吸入危害,类别1危害水生环境-急性危害,类别2危害水生环境-长期危害,类别3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高度易燃液体和蒸气，造成皮肤刺激，怀疑对生育力或胎儿造成伤害，可能引起昏昏欲睡或眩晕，长时间或反复接触可能对器官造成损伤，吞咽及进入呼吸道可能致命，对水生生物有害并具有长期持续影响。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得到专门指导后操作。在阅读并了解所有安全预防措施之前，切勿操作。按要求使用个体防护装备。避免吸入蒸气、雾。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立即脱掉所有被污染的衣服。用大量肥皂水和水清洗。如发生皮肤刺激，就医。脱去被污染的衣服，洗净后方可重新使用。如果接触或有担心，就医。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对皮肤、黏膜有刺激性，对中枢神经系统有麻醉作用。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短时间内吸入较高浓度本品表现为中枢神经系统麻醉作用，出现头晕、头痛、恶心、呕吐、胸闷、四肢无力、步态蹒跚、意识模糊。重症者可有躁动、抽搐、昏迷。呼吸道和眼结膜可有明显刺激症状。液体吸入肺内可引起肺炎、肺水肿和肺出血。可出现明显的心脏损害。液态本品吸入呼吸道可引起吸入性肺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长期接触可发生神经衰弱综合征，肝肿大，女工月经异常等。皮肤干燥、皲裂、皮炎。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108-88-3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与氧化剂能发生强烈反应。流速过快，容易产生和积聚静电。蒸气比空气重，沿地面扩散并易积存于低洼处，遇火源会着火回燃。燃烧生成有害的一氧化碳。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PC-TWA：50 mg/m3；PC-STEL：100 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TLV-TWA：50ppm[皮]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尿马尿酸：</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1mol/mol 肌酐（1.5g/g 肌酐）或11mmol/L（2.0g/L）（采样时间：工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作班末（停止接触后）；终末呼出气甲苯：</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20mg/m3（采样时间：工作班末（停止接触后15～30min），5mg/m3（工作班前）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溶剂解吸-气相色谱法；热解吸-气相色谱法；无泵型采样-气相色谱法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尿中马尿酸的分光光度测定方法；尿中马尿酸、甲基马尿酸的高效液相色谱测定方法；呼出气中甲苯的气相色谱测定法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无色透明液体，有类似苯的芳香气味。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-94.9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3910.3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4（CC）；16（OC）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0.56（25℃）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不溶于水，可混溶于苯、乙醇、乙醚、氯仿等多数有机溶剂。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强氧化剂、酸类、卤素等。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636mg/kg（大鼠经口）；12124mg/kg（兔经皮）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49g/m3（大鼠吸入，4h）；30g/m3（小鼠吸入，2h）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人经眼：300ppm ，引起刺激。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微核试验：小鼠经口200mg/kg。细胞遗传学分析：大鼠吸入5400μg/m3（16 周）(间歇)。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姐妹染色单体交换：</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人吸入252 μg/L（19a）。非程序DNA 合成：大肠杆菌1 pph。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雌性大鼠孕后7～20d 吸入最低中毒剂量（TCLo）1800ppm,致中枢神经系统发育畸形。雌性小鼠孕后6～15d 经口染毒最低中毒剂量（TCLo）8700mg/kg,致颅面部（包括鼻、舌）发育畸形。雌兔孕后6～18d 吸入最低中毒剂量（TCLo）100ppm(6h)，致泌尿生殖系统发育畸形。大鼠吸入最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低中毒浓度(TCLo)：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1.5g/m3（24h）(孕1～18d 用药)，致胚胎毒性和肌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肉发育异常。小鼠吸入最低中毒浓度(TCLo)：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500mg/m3(24h)(孕6～13d用药)，致胚胎毒性。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大鼠、豚鼠吸入390mg/m3，每天8h，90～127d，引起造血系统和实质性脏器改变。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34.27mg/L(96h)（黑头呆鱼）；57.68mg/L(96h)（金鱼）；313mg/L(48h)（水蚤）；9.5mg/L(96h)（草虾）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0.53-1mg/L(21d)（水蚤）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光解最大光吸收波长范围（nm）：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253.5～268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321～1284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10～104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BCF：90（金鱼），13（鳗鱼）；根据Kow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列入。GB 18218-2009《危险化学品重大危险源辨识》（表1）：列入。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易燃液体，临界量（t）：500。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