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3-硝基-4-甲苯胺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3-硝基-4-甲苯胺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119-32-4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3-硝基-4-甲苯胺 ；间硝基对甲苯胺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m-nitro-p-toluidine；4-methyl-3-nitroaniline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C7H8N2O2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152.1506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用于染料合成。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急性毒性-经口,类别3急性毒性-经皮,类别3急性毒性-吸入,类别3特异性靶器官毒性-反复接触,类别2危害水生环境-急性危害,类别2危害水生环境-长期危害,类别2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立即呼叫中毒控制中心或就医。漱口。收集泄漏物。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吸入、摄入或经皮肤吸收后对身体有害。对眼睛、皮肤和黏膜有刺激作用。吸收进体内可形成高铁血红蛋白，致引起紫绀。长期接触可引起眼睛的损伤。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3-硝基-4-甲苯胺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119-32-4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化。防止粉尘释放到车间空气中。操作人员必须经过专门培训，严格遵守操作规程。建议操作人员佩戴自吸过滤式防尘口罩，戴化学安全防护眼镜，穿透气型防毒服，戴乳胶手套。远离火种、热源，工作场所严禁吸烟。使用防爆型的通风系统和设备。避免产生粉尘。避免与氧化剂、酸类、酸酐、酰基氯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储存于阴凉、通风的库房。远离火种、热源。防止阳光直射。包装密封。应与氧化剂、酸类、酸酐、酰基氯分开存放，切忌混储。配备相应品种和数量的消防器材。储区应备有合适的材料收容泄漏物。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生产过程密闭化。保证良好的自然通风。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空气中粉尘浓度超标时，建议佩戴过滤式防尘呼吸器。紧急事态抢救或撤离时，应该佩戴空气呼吸器。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穿透气型防毒服。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橙红色针状结晶。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74～77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1.312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5.80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溶于乙醇、浓硫酸、苯。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与强氧化剂、酸类、酸酐、酰基氯等禁配物发生反应。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强氧化剂、酸类、酸酐、酰基氯。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6860 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2660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一硝基甲苯胺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