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O,O-二甲基-O-(4-甲硫基-3-甲基苯基)硫代磷酸酯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O,O-二甲基-O-(4-甲硫基-3-甲基苯基)硫代磷酸酯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55-38-9</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倍硫磷；百治屠；O,O-二甲基-O-(3-甲基-4-甲硫基苯基)硫代磷酸酯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O,O-dimethyl O-4-methylthio-m-tolyl phosphorothioate；Fenthion;Baytex</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C10H15O3PS2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278.328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主要是触杀和胃毒作用, 用于蔬菜、水稻、豆类、棉花、果树等, 对于防治卫生害虫也有良效, 且残效期长, 常用于疟区灭蚊。</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吞咽有害，皮肤接触有害，吸入会中毒。</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急性毒性-经口,类别4急性毒性-吸入,类别3急性毒性-经皮,类别4生殖细胞致突变性,类别2特异性靶器官毒性-反复接触,类别1危害水生环境-急性危害,类别1危害水生环境-长期危害,类别1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吞咽有害，皮肤接触有害，吸入会中毒，怀疑可造成遗传性缺陷，长时间或反复接触对器官造成损伤，对水生生物毒性非常大并具有长期持续影响。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戴防护手套、穿防护服。避免吸入粉尘、烟气、气体、烟雾、蒸气、喷雾。仅在室外或通风良好处操作。得到专门指导后操作。在阅读并了解所有安全预防措施之前，切勿操作。按要求使用个体防护装备。操作后彻底清洗。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如果感觉不适，立即呼叫中毒控制中心或就医。漱口。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用大量肥皂水和水清洗。如感觉不适，呼叫中毒控制中心或就医。被污染的衣服须经洗净后方可重新使用。如果接触或有担心，就医。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上锁保管。</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抑制体内胆碱酯酶活性，造成神经生理功能紊乱。急性中毒症状有头痛、头昏、乏力、食欲不振、恶心、呕吐、腹痛、腹泻、流涎、瞳孔缩小、呼吸道分泌物增多、多汗、肌束震颤等。重度中毒者出现肺水肿、昏迷、呼吸麻痹、脑水肿。血胆碱酯酶活性降低。本品急性中毒后可诱发中间型综合征，主要表现为突触后的神经肌肉接头损伤，罹及呼吸肌，重者可导致呼吸肌麻痹。</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对水生生物毒性非常大并具有长期持续影响。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倍硫磷</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55-38-9</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立即脱去污染的衣着，用肥皂水及流动清水彻底冲洗污染的皮肤、头发、指甲等。就医。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分开眼睑，用流动清水或生理盐水冲洗。就医。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饮足量温水，催吐（仅限于清醒者）。口服活性碳。就医。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解毒剂：阿托品、胆碱酯酶复能剂。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遇明火、高热可燃。受热分解，放出磷、硫的氧化物等毒性气体。</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建议应急处理人员戴正压自给式呼吸器，穿防毒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其它不燃材料吸收或覆盖，收集于容器中。大量泄漏：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操作尽可能机械化、自动化。操作人员必须经过专门培训，严格遵守操作规程。建议操作人员佩戴过滤式防毒面具（半面罩），戴化学安全防护眼镜，穿防毒物渗透工作服，戴乳胶手套。远离火种、热源，工作场所严禁吸烟。使用防爆型的通风系统和设备。防止蒸气泄漏到工作场所空气中。避免与氧化剂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寒冷季节要注意保持库温在结晶点以上，防止冻裂容器及变质。应与氧化剂、食用化学品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PC-TWA：0.2mg/m3；PC-STEL：0.3mg/m3[皮]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TLV-TWA：0.05mg/m3（可吸入性颗粒物和蒸气）[皮]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全血胆碱酯酶活性（校正值）：</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原基础值或参考值的70%（采样时间：开始接触后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的3 个月内），原基础值或参考值的50%（采样时间：</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持续接触3 个月后，任意时间）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溶剂解吸-气相色谱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血中胆碱酯酶活性的分光光度测定方法——羟胺三氯化铁法；血中胆碱酯酶活性的分光光度测定方法——硫代乙酰胆碱-联硫代双硝基苯甲酸法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空气中浓度较高时，应该佩戴过滤式防毒面具(半面罩)。紧急事态抢救或逃生时，建议佩戴空气呼吸器。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纯品为无色液体, 工业品为有轻度蒜臭的褐色油状液体。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87(纯)(0.0013kPa)</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0.000004(20℃)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受热分解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不溶于水，易溶于多数有机溶剂。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硫化氢、氧化硫、氧化磷。</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属中等毒类。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180 mg/kg(大鼠经口)；330 mg/kg(大鼠经皮)；88.1 mg/kg(小鼠经口)；500 mg/kg(小鼠经皮)；150 mg/kg(兔经口)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800 mg/m3(大鼠吸入，4h)</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0.83mg/L(96h)（虹鳟）</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0.0052mg/L(48h)（大型溞）</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NOEC：</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0.0075mg/L（虹鳟）；0.000013mg/L（大型溞）</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建议用焚烧法处置。焚烧炉排出的气体要通过洗涤器除去。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3018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液态有机磷农药，毒性（倍硫磷）</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有机磷中毒。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