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甲醇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67-56-1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甲醇；木精</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methyl alcohol；methanol；wood spirits</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CH4O</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32.0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主要用于制甲醛、香精、染料、医药、火药、防冻剂、溶剂等。</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高度易燃液体和蒸气，吞咽会中毒，皮肤接触会中毒，吸入会中毒。</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易燃液体,类别2急性毒性-经口,类别3急性毒性-经皮,类别3急性毒性-吸入,类别3特异性靶器官毒性-一次接触,类别1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高度易燃液体和蒸气，吞咽会中毒，皮肤接触会中毒，吸入会中毒，对器官造成损害。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火花、明火、热表面。禁止吸烟。保持容器密闭。容器和接收设备接地连接。使用防爆电器、通风、照明、设备。只能使用不产生火花的工具。采取防止静电措施。戴防护手套、防护眼镜、防护面罩、穿防护服。避免接触眼睛、皮肤，操作后彻底清洗。作业场所不得进食、饮水或吸烟。避免吸入蒸气、雾。仅在室外或通风良好处操作。</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火灾时，使用抗溶性泡沫、干粉、二氧化碳、砂土灭火。</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将患者转移到空气新鲜处，休息，保持利于呼吸的体位。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如皮肤（或头发）接触：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立即脱掉所有被污染的衣服。用大量肥皂水和水清洗。被污染的衣服须经洗净后方可重新使用。如感觉不适，呼叫中毒控制中心或就医。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存放在通风良好的地方。保持低温。保持容器密闭。上锁保管。</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高度易燃，其蒸气与空气混合，能形成爆炸性混合物。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中毒：大多数为饮用掺有甲醇的酒或饮料所致口服中毒。短期内吸入高浓度甲醇蒸气或容器破裂泄漏经皮肤吸收大量甲醇溶液亦可引起急性或亚急性中毒。中枢神经系统损害轻者表现为头痛、眩晕、乏力、嗜睡和轻度意识等。重者出现昏迷和癫痫样抽搐。少数严重口服中毒者在急性期或恢复期可有锥体外系损害或帕金森综合征的表现。眼部最初表现为眼前黑影、飞雪感、闪光感、视物模糊、眼球疼痛、羞明、幻视等。重者视力急剧下降，甚至失明。视神经损害严重者可出现视神经萎缩。引起代谢性酸中毒。高浓度对眼和上呼吸道轻度刺激症状。口服中毒者恶心、呕吐和上腹部疼痛等胃肠道症状较明显，并发急性胰腺炎的比例较高，少数可伴有心、肝、肾损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慢性中毒：</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主要为神经系统症状，有头晕、无力、眩晕、震颤性麻痹及视神经损害。皮肤反复接触甲醇溶液，可引起局部脱脂和皮炎。</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67-56-1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饮适量温水，催吐（仅限于清醒者）。就医。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给予乙醇。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用抗溶性泡沫、干粉、二氧化碳、砂土灭火。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在火场中，受热的容器有爆炸危险。蒸气比空气重，沿地面扩散并易积存于低洼处，遇火源会着火回燃。燃烧生成有害的一氧化碳。</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消防人员须佩戴防毒面具、穿全身消防服，在上风向灭火。尽可能将容器从火场移至空旷处。喷水保持火场容器冷却，直至灭火结束。容器突然发出异常声音或出现异常现象，应立即撤离。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除所有点火源。根据液体流动和蒸气扩散的影响区域划定警戒区，无关人员从侧风、上风向撤离至安全区。建议应急处理人员戴正压自给式呼吸器，穿防毒、防静电服，戴橡胶手套。作业时使用的所有设备应接地。禁止接触或跨越泄漏物。尽可能切断泄漏源。</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防止泄漏物进入水体、下水道、地下室或有限空间。</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小量泄漏：用砂土或其他不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燃材料吸收。使用洁净的无火花工具收集吸收材料。大量泄漏：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构筑围堤或挖坑收容。用抗溶性泡沫覆盖，减少蒸发。喷水雾能减少蒸发，但不能降低泄漏物在有限空间内的易燃性。用防爆泵转移至槽车或专用收集器内。喷雾状水驱散蒸气、稀释液体泄漏物。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过滤式防毒面具（半面罩），戴化学安全防护眼镜，穿防静电工作服，戴橡胶手套。远离火种、热源。工作场所严禁吸烟。使用防爆型的通风系统和设备。防止蒸气泄漏到工作场所空气中。避免与氧化剂、酸类、碱金属接触。灌装时应控制流速，且有接地装置，防止静电积聚。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通风良好的专用库房内，远离火种、热源。库温不宜超过37℃，保持容器密封。应与氧化剂、酸类、碱金属等分开存放，切忌混储。采用防爆型照明、通风设施。禁止使用易产生火花的机械设备和工具。储区应备有泄漏应急处理设备和合适的收容材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PC-TWA：25 mg/m3；PC-STEL：50 mg/m3 [皮]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TLV-TWA：200ppm；TLV-STEL：250ppm[皮]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溶剂解吸-气相色谱法；热解吸-气相色谱法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可能接触其蒸气时，应该佩戴过滤式防毒面具(半面罩)。紧急事态抢救或撤离时，建议佩戴空气呼吸器。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穿防静电工作服。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无色透明液体，有刺激性气味。</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-97.8</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64.7</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0.79</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12.3(20℃)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723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7.95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-0.82～-0.77</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12（CC）；12.2（OC）</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464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0.544（25℃）</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溶于水，可混溶于醇类、乙醚等多数有机溶剂。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与强氧化剂等禁配物接触，有发生火灾和爆炸的危险。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酸类、酸酐、强氧化剂、碱金属。</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7300mg/kg（小鼠经口）；15800mg/kg（兔经皮）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64000ppm（大鼠吸入，4h）</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家兔经皮：20mg（24h），中度刺激。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家兔经眼：40mg，中度刺激。</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微生物致突变：酿酒酵母菌12pph。DNA 抑制：人类淋巴细胞300mmol/L。</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鼠孕后6～14d 吸入最低中毒剂量（TCLo）20000 ppm（7h），致肌肉骨骼系统、心血管系统、泌尿生殖系统发育畸形。大鼠、小鼠孕后不同时间给予不同剂量，可致内分泌系统、眼、耳、中枢神经系统、颅面部（包括</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鼻、舌）发育畸形。大鼠经口最低中毒剂量(TDLo)：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7500mg/kg(孕7～19d)，对新生鼠行为有影响。大鼠吸入最低中毒浓度(TCLo)：20000ppm(7h)(孕1～22d)，引起肌肉骨骼、心血管系统和泌尿系统发育异常。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大鼠吸入50mg/m3，每天12h，3 个月，在8～10周内可见到气管、支气管黏膜损害，大脑皮质细胞营养障碍等。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生态毒性：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LC50：15.4g～29.4g/L(96h)（黑头呆鱼）</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MITI-I 测试，初始浓度100ppm，污泥浓度30ppm，2 周后降解92%。</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空气中，当羟基自由基浓度为5.00×105 个/cm3 时，降解半衰期为17d（理论）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根据Kow 值预测，该物质的生物累积性可能较弱。</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根据Koc 值预测，该物质可能易发生迁移。</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用焚烧法处置。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把倒空的容器归还厂商或在规定场所掩埋。</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1230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3，6.1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Ⅱ类包装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铁路运输时限使用钢制企业自备罐车装运，装运前需报有关部门批准。运输时运输车辆应配备相应品种和数量的消防器材及泄漏应急处理设备。夏季最好早晚运输。运输时所用的槽（罐）车应有接地链，槽内可设孔隔板以减少震荡产生静电。严禁与氧化剂、酸类、碱金属、食用化学品等混装混运。运输途中应防曝晒、雨淋，防高温。中途停留时应远离火种、热源、高温区。装运该物品的车辆排气管必须配备阻火装置，禁止使用易产生火花的机械设备和工具装卸。公路运输时要按规定路线行驶，勿在居民区和人口稠密区停留。铁路运输时要禁止溜放。严禁用木船、水泥船散装运输。</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甲醇中毒。</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列入。GB 18218-2009《危险化学品重大危险源辨识》（表1）：列入。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易燃液体，临界量（t）：500。</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