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2-丙醇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2-丙醇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67-63-0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2-丙醇；异丙醇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2-propanol；isopropyl alcohol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C3H8O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是重要的化工产品和原料。主要用于制药、化妆品、塑料、香料、涂料等。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易燃液体,类别2严重眼损伤/眼刺激,类别2特异性靶器官毒性-一次接触,类别3（麻醉效应）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高度易燃液体和蒸气，造成严重眼刺激，可能引起昏昏欲睡或眩晕。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火灾时，使用抗溶性泡沫、干粉、二氧化碳、砂土灭火。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接触高浓度蒸气出现头痛、倦睡、共济失调以及眼、鼻、喉刺激症状。口服可致恶心、呕吐、腹痛、腹泻、倦睡、昏迷,甚至死亡。长期皮肤接触可致皮肤干燥、皲裂。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2-丙醇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67-63-0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过滤式防毒面具（半面罩），戴安全防护眼镜，穿防静电工作服，戴乳胶手套。远离火种、热源。工作场所严禁吸烟。使用防爆型的通风系统和设备。防止蒸气泄漏到工作场所空气中。避免与氧化剂、酸类、卤素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酸类、卤素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PC-TWA：350 mg/m3；PC-STEL：700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TLV-TWA：200ppm；TLV-STEL：400ppm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无色透明液体，有似乙醇和丙酮混合物的气味。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4.40(20℃)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-1995.5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11（TCC）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2.038（25℃）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溶于水、乙醇、乙醚、苯、氯仿等多数有机溶剂。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强氧化剂、酸类、酸酐、卤素。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5000mg/kg（大鼠经口）；3600mg/kg（小鼠经口）；6410mg/kg（兔经口）；12800mg/kg（兔经皮）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LDLo：</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人3570mg/kg；TDLo：人223mg/kg</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家兔经皮：500mg，轻度刺激。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家兔经眼：100mg(24h)，中度刺激。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细胞遗传学分析：酿酒酵母菌200mmol/ 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大鼠孕后1～19d 吸入最低中毒剂量（TCLo）7000 ppm(7h)，致肌肉骨骼系统发育畸形。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大鼠吸入0.27ppm，每天24h，连续3 个月，未见异常；1.0ppm，每天24h，3 个月，肾和肝功能出现异常；8.4ppm，每天24h，3 个月，肾和肝严重损伤。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750～1650mg/L(96h)（圆腹褐虾）；11130mg/L(48h)（黑头呆鱼，静态）</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4726～1.90×105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异丙醇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卤素、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