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2-硝基-4-甲苯酚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2-硝基-4-甲苯酚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119-33-5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2-硝基-4-甲苯酚；4-甲基-2-硝基苯酚；4-甲基-2-硝基(苯)酚；邻硝基对甲苯酚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2-nitro-4-methylphenol；4-methyl-2-nitrophenol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C7H7NO3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153.1354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用于有机合成。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可能引起昏昏欲睡或眩晕。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皮肤腐蚀/刺激,类别2严重眼损伤/眼刺激,类别2特异性靶器官毒性-一次接触,类别3（呼吸道刺激）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警告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造成皮肤刺激，造成严重眼刺激，可能引起昏昏欲睡或眩晕。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避免接触眼睛、皮肤，操作后彻底清洗。戴防护手套、戴防护眼镜、防护面罩。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用大量肥皂水和水清洗。如发生皮肤刺激，就医。脱去被污染的衣服，洗净后方可重新使用。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如接触眼睛：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用水细心冲洗数分钟。如戴隐形眼镜并可方便地取出，取出隐形眼镜。继续冲洗。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如果眼睛刺激持续：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可燃，其粉体与空气混合，能形成爆炸性混合物。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吸入、摄入或经皮肤吸收对身体有害。对眼睛、黏膜、呼吸道及皮肤有刺激作用。过长时间的接触，可引起眼睛的损伤或灼伤。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对环境可能有害。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2-硝基-4-甲苯酚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119-33-5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    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    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漱口，饮水。就医。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用雾状水、泡沫、干粉、二氧化碳、砂土灭火。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遇明火能燃烧。受热分解放出有毒气体。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消防人员须佩戴防毒面具、穿全身消防服，在上风向灭火。尽可能将容器从火场移至空旷处。喷水保持火场容器冷却，直至灭火结束。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隔离泄漏污染区，限制出入。消除所有点火源。建议应急处理人员戴防尘口罩，穿防毒服。穿上适当的防护服前严禁接触破裂的容器和泄漏物。尽可能切断泄漏源。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用塑料布覆盖泄漏物，减少飞散。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勿使水进入包装容器内。用洁净的铲子收集泄漏物，置于干净、干燥、盖子较松的容器中，将容器移离泄漏区。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提供充分的局部排风。操作人员必须经过专门培训，严格遵守操作规程。建议操作人员佩戴自吸过滤式防尘口罩，戴化学安全防护眼镜，穿防毒物渗透工作服，戴橡胶手套。远离火种、热源，工作场所严禁吸烟。使用防爆型的通风系统和设备。避免与氧化剂、碱类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储存于阴凉、通风的库房。远离火种、热源。应与氧化剂、碱类等分开存放，切忌混储。配备相应品种和数量的消防器材。储区应备有合适的材料收容泄漏物。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空气中粉尘浓度超标时，必须佩戴过滤式防尘呼吸器。紧急事态抢救或撤离时，应该佩戴空气呼吸器。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穿防毒物渗透工作服。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黄色固体。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32～35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125（2.93kPa）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1.24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2.93/125℃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溶于乙醇、乙醚。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与强氧化剂、强碱、酰基氯、酸酐等禁配物发生反应。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受热。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强氧化剂、强碱、酰基氯、酸酐。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氮氧化物。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3360 mg/kg(大鼠经口)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建议用焚烧法处置。焚烧炉排出的氮氧化物通过洗涤器除去。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2446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硝基甲苯酚，固态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Ⅲ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运输前应先检查包装容器是否完整、密封，运输过程中要确保容器不泄漏、不倒塌、不坠落、不损坏。严禁与酸类、氧化剂、食品及食品添加剂混运。运输途中应防曝晒、雨淋，防高温。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