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3-三氟甲基苯胺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3-三氟甲基苯胺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98-16-8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3-三氟甲基苯胺；间三氟甲基苯胺；3-氨基三氟甲苯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3-aminobenzotrifluoride；3-(trifluoromethyl)aniline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C7H6F3N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161.1244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用于有机合成及染料中间体。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可燃液体，吞咽有害，皮肤接触有害，吸入致命，造成皮肤刺激，造成严重眼损伤，对水生生物有毒并具有长期持续影响。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易燃液体,类别4急性毒性-经口,类别4急性毒性-经皮,类别4急性毒性-吸入,类别2皮肤腐蚀/刺激,类别2严重眼损伤/眼刺激,类别1危害水生环境-急性危害,类别2危害水生环境-长期危害,类别2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可燃液体，吞咽有害，皮肤接触有害，吸入致命，造成皮肤刺激，造成严重眼损伤，对水生生物有毒并具有长期持续影响。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火焰和热表面。禁止吸烟。避免接触眼睛、皮肤，操作后彻底清洗。作业场所不得进食、饮水或吸烟。戴防护手套、穿防护服、戴防护眼镜、防护面罩。避免吸入蒸气、雾。仅在室外或通风良好处操作。戴呼吸防护器具。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用大量肥皂水和水清洗。如感觉不适，呼叫中毒控制中心或就医。被污染的衣服须经洗净后方可重新使用。如发生皮肤刺激，就医。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本品高浓度时对眼睛、皮肤、黏膜和呼吸道有强烈刺激作用。接触后可引起烧灼感、咳嗽、喉炎、气短、头痛、恶心和呕吐。本品为高铁血红蛋白形成剂，可引起紫绀。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3-三氟甲基苯胺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98-16-8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遇明火、高热可燃。与氧化剂可发生反应。受高热分解放出有毒的气体。蒸气比空气重，沿地面扩散并易积存于低洼处，遇火源会着火回燃。若遇高热，容器内压增大，有开裂和爆炸的危险。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其它不燃材料吸收或覆盖，收集于容器中。大量泄漏：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构筑围堤或挖坑收容。用粉煤灰或石灰粉吸收大量液体。用泵转移至槽车或专用收集器内。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蒸气泄漏到工作场所空气中。操作人员必须经过专门培训，严格遵守操作规程。建议操作人员佩戴自吸过滤式防毒面具（全面罩），穿胶布防毒衣，戴橡胶手套。远离火种、热源，工作场所严禁吸烟。使用防爆型的通风系统和设备。在清除液体和蒸气前不能进行焊接、切割等作业。避免产生烟雾。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储存于阴凉、通风的库房。远离火种、热源。防止阳光直射。保持容器密封。应与氧化剂、食用化学品分开存放，切忌混储。配备相应品种和数量的消防器材。储区应备有泄漏应急处理设备和合适的收容材料。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具有苯胺气味的无色液体,遇光变成棕色。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5.56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0.04(20℃)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185.0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氮氧化物、氟化氢。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480 mg/kg(大鼠经口)；220 mg/kg(小鼠经口)；615 mg/kg(兔经口)；1330mg/kg(兔经皮)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440 mg/m3(大鼠吸入，4h)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2.7mg/L(48h)（大型溞，DIN 38412 Part II）</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2948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3-三氟甲基苯胺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铁路运输时应严格按照铁道部《危险货物运输规则》中的危险货物配装表进行配装。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