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2,4-二硝基氯化苄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2,4-二硝基氯化苄</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610-57-1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α-氯-2，4-二硝基甲苯；2,4-二硝基氯化苄；2,4-二硝基氯化苯甲基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2,4-dinitrobenzyl chloride；α-chloro-2,4-dinitrotoluene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C7H5O4N2Cl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216.58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易燃固体。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易燃固体,类别2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易燃固体。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远离热源、火花、明火、热表面。禁止吸烟。容器和接收设备接地连接。使用防爆电器、通风、照明设备。戴防护手套、防护眼镜、防护面罩。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易燃。急剧加热可能导致爆炸。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吸入本品蒸气或经皮肤吸收后会产生发绀症状以及损害肝脏。本品对眼睛、皮肤、黏膜和上呼吸道有剧烈刺激作用。吸入后可引起喉、支气管的痉挛，水肿和炎症，化学性肺炎或肺水肿等。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α-氯-2，4-二硝基甲苯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610-57-1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易燃，在密闭容器中，已知在 150℃下受震动或撞击能引起爆炸。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消防人员须戴好防毒面具，在安全距离以外，在上风向灭火。尽可能将容器从火场移至空旷处。喷水保持火场容器冷却，直至灭火结束。遇大火，消防人员须在有防护掩蔽处操作。</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隔离泄漏污染区，限制出入。消除所有点火源。建议应急处理人员戴防尘口罩，穿防酸碱服。禁止接触或跨越泄漏物。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小量泄漏：用洁净的铲子收集泄漏物，置于干净、干燥、盖子较松的容器中，将容器移离泄漏区。大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用水润湿，并筑堤收容。</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防尘面具（全面罩），穿胶布防毒衣，戴橡胶手套。远离火种、热源，工作场所严禁吸烟。使用防爆型的通风系统和设备。避免产生粉尘。避免与氧化剂、还原剂接触。搬运时要轻装轻卸，防止包装及容器损坏。禁止震动、撞击和摩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35℃。应与氧化剂、还原剂分开存放，切忌混储。采用防爆型照明、通风设施。禁止使用易产生火花的机械设备和工具。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黄色柱状结晶。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34～36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与强氧化剂、强还原剂等禁配物接触，有引起燃烧爆炸的危险。在 150℃下受震动或撞击能引起爆炸。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震动、撞击。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建议用焚烧法处置。与燃料混合后，再焚烧。焚烧炉排出的气体要通过洗涤器除去。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有机易燃固体，未另作规定的（α-氯-2，4-二硝基甲苯）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装运本品的车辆排气管须有阻火装置。运输过程中要确保容器不泄漏、不倒塌、不坠落、不损坏。严禁与氧化剂、还原剂、食用化学品等混装混运。运输途中应防曝晒、雨淋，防高温。中途停留时应远离火种、热源。车辆运输完毕应进行彻底清扫。铁路运输时要禁止溜放。</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