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2-丙烯-1-醇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2-丙烯-1-醇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107-18-6</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2-丙烯-1-醇 ；烯丙醇；蒜醇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allyl alcohol；2-propen-1-ol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C3H6O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58.0791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用于丙烯化合物制备，树脂、塑料合成，分析上用于显微分析及测定汞等。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高度易燃液体和蒸气，吞咽会中毒，皮肤接触会致命，吸入致命，造成皮肤刺激，造成严重眼刺激，可能引起呼吸道刺激，对水生生物毒性非常大。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易燃液体,类别2急性毒性-经口,类别3急性毒性-经皮,类别1急性毒性-吸入,类别2皮肤腐蚀/刺激,类别2严重眼损伤/眼刺激,类别2特异性靶器官毒性-一次接触,类别3（呼吸道刺激）危害水生环境-急性危害,类别1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高度易燃液体和蒸气，吞咽会中毒，皮肤接触会致命，吸入致命，造成皮肤刺激，造成严重眼刺激，可能引起呼吸道刺激，对水生生物毒性非常大。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穿防护服。避免接触眼睛、皮肤，操作后彻底清洗。作业场所不得进食、饮水或吸烟。避免吸入蒸气、雾。仅在室外或通风良好处操作。戴呼吸防护器具。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出隐形眼镜。继续冲洗。如果眼睛刺激持续：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立即呼叫中毒控制中心或就医。漱口。收集泄漏物。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存放在通风良好的地方。保持低温。保持容器密闭。上锁保管。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蒸气对眼结膜有强烈刺激作用，严重病例可引起急性结膜炎。眼直接沾染后可致严重化学灼伤。皮肤接触可引起疼痛、接触性皮炎或轻度灼伤。口服可致死。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对水生生物毒性非常大。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2-丙烯-1-醇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107-18-6</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立即分开眼睑，用流动清水或生理盐水彻底冲洗5～10min。就医。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饮适量温水，催吐（仅限于清醒者）。就医。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与空气可形成爆炸性混合物，遇明火、高热极易燃烧爆炸。与氧化剂接触猛烈反应。遇氯磺酸、硝酸、硫酸、氢氧化钠、亚磷酸二烯丙酯，可形成不稳定产物。在火场中，受热的容器有爆炸危险。容易自聚，聚合反应随着温度的上升而急骤加剧。蒸气比空气重，沿地面扩散并易积存于低洼处，遇火源会着火回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毒、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小量泄漏：用砂土或其它不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粉煤灰或石灰粉吸收大量液体。用泡沫覆盖，减少蒸发。喷水雾能减少蒸发，但不能降低泄漏物在有限空间内的易燃性。用防爆泵转移至槽车或专用收集器内。喷雾状水驱散蒸气、稀释液体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加强通风。操作人员必须经过专门培训，严格遵守操作规程。建议操作人员佩戴自吸过滤式防毒面具（全面罩），穿胶布防毒衣，戴橡胶手套。远离火种、热源，工作场所严禁吸烟。使用防爆型的通风系统和设备。防止蒸气泄漏到工作场所空气中。避免与氧化剂、酸类、碱金属接触。灌装时应控制流速，且有接地装置，防止静电积聚。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良好的专用库房内，实行“双人收发、双人保管”制度。远离火种、热源。库温不宜超过37℃，包装要求密封，不可与空气接触。应与氧化剂、酸类、碱金属、食用化学品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PC-TWA：2mg/m3；PC-STEL：3mg/m3[皮]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TLV-TWA：0.5ppm[皮]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溶剂解析-气相色谱法</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生产过程密闭，加强通风。提供安全淋浴和洗眼设备。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穿密闭型防毒服。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无色透明液体，有刺激性气味。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96.9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1.33(10.5℃)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-0.25～0.17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378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1.218（25℃）；0.759（50℃；0.505（75℃）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1853.8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266.62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溶于水、醇、醚。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与强氧化剂等禁配物接触，有引起燃烧爆炸的危险。遇氯磺酸、硝酸、硫酸、氢氧化钠、亚磷酸二烯丙酯，可反应形成不稳定产物。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强氧化剂、碱金属、酸类。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64 mg/kg(大鼠经口)；96 mg/kg(小鼠经口)；52 mg/kg(兔经口)；45mg/kg(兔经皮)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165ppm(大鼠吸入，4h)</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家兔经皮10mg（24h），引起刺激（开放性刺激试验）。</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人经眼25ppm ，重度刺激。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微生物致突变：鼠伤寒沙门氏菌100μmol/L。微生物致突变：鼠</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伤寒沙门氏菌50μg/皿。哺乳动物体细胞突变：</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仓鼠肺1 μmol/L。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美国工业卫生会议（ACGIH）：未分类为人类致癌物。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大鼠吸入0.24g/m3，每天7h，55 天，见气喘、萎糜、鼻分泌物增多、眼刺激。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0.589mg/L(96h)（青鳉）（OECD203）；0.32mg/L(96h)（黑头呆鱼）</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1.65mg/L(48h)（大型溞）（OECD202）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ErC50：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5.38mg/L(72h)（羊角月牙藻）（OECD201）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易快速生物降解（OECD301C）。</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用焚烧法处置。溶于易燃溶剂后，再焚烧。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处置前应参阅国家和地方有关法规。把空容器归还厂商。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1098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烯丙醇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Ⅰ</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铁路运输时应严格按照铁道部《危险货物运输规则》中的危险货物配装表进行配装。运输时运输车辆应配备相应品种和数量的消防器材及泄漏应急处理设备。夏季最好早晚运输。运输时所用的槽（罐）车应有接地链，槽内可设孔隔板以减少震荡产生静电。严禁与氧化剂、酸类、碱金属、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列入。作为剧毒化学品进行管理。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