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N-乙基间甲苯胺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N-乙基间甲苯胺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102-27-2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N-乙基间甲苯胺；乙氨基间甲苯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N-ethyl-m-toluidine；ethylamino-3-methylbenzene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C9H13N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135.2062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用于有机合成和染料中间体。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易燃液体,类别4急性毒性-经口,类别4危害水生环境-急性危害,类别3危害水生环境-长期危害,类别3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本品具强烈的刺激性。吸入蒸气、误食或经皮吸收均可引起中毒。吸收进入体内后可引起高铁血红蛋白血症，出现紫绀。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N-乙基间甲苯胺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102-27-2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遇明火、高热可燃。与强氧化剂接触可发生化学反应。受高热分解放出有毒的气体。若遇高热，容器内压增大，有开裂和爆炸的危险。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蒸气泄漏到工作场所空气中。操作人员必须经过专门培训，严格遵守操作规程。建议操作人员佩戴自吸过滤式防毒面具（全面罩），穿胶布防毒衣，戴橡胶手套。远离火种、热源，工作场所严禁吸烟。使用防爆型的通风系统和设备。在清除液体和蒸气前不能进行焊接、切割等作业。避免产生烟雾。避免与酸类、酸酐、氧化剂、酰基氯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酸类、酸酐、氧化剂、酰基氯、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无色至琥珀色液体。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0.9570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5.6×10-3（20℃）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不溶于水，溶于醇、醚、盐酸。</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与酸类、酸酐、强氧化剂、酰基氯等禁配物发生反应。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酸类、酸酐、强氧化剂、酰基氯。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580 mg/kg(大鼠经口)；280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49.5mg/L(96h)（黑头呆鱼）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2754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N-乙基甲苯胺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