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O,O-二甲基-O-[1-甲基-2氯-2-(二乙基氨基甲酰)乙烯基]磷酸酯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O,O-二甲基-O-[1-甲基-2氯-2-(二乙基氨基甲酰)乙烯基]磷酸酯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13171-21-6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磷胺；大灭虫；2-氯-3-(二乙氨基)-1-甲基-3-氧代-1-丙烯二甲基磷酸酯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phosphamidon；dimecron;(EZ)-2-chloro-2-diethylcarbamoyl-1-methylvinyl dimethyl phosphate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C10H19ClNO5P</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299.688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用作杀虫剂。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吞咽致命，皮肤接触会中毒。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急性毒性-经口，类别2急性毒性-经皮，类别3生殖细胞致突变性，类别2危害水生环境-急性危害，类别1危害水生环境-长期危害，类别1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吞咽致命，皮肤接触会中毒，怀疑可造成遗传性缺陷，对水生生物毒性非常大并具有长期持续影响。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得到专门指导后操作。在阅读并了解所有安全预防措施之前，切勿操作。按要求使用个体防护装备。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立即呼叫中毒控制中心或就医。漱口。如果接触或有担心，就医。收集泄漏物。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抑制胆碱酯酶活性，引起神经功能紊乱，发生与胆碱能神经过度兴奋相似的症状。</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轻度：有头痛、头晕、恶心、呕吐、多汗、胸闷、视力模糊、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无力等症状，全血胆碱酯酶活性在50%～70%；中度：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除上述症状外，有肌束震颤、瞳孔缩小、轻度呼吸困难、流涎、腹痛、腹泻等，全血胆碱酯酶</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活性在30%～50%；重度：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上述症状加重，可有肺水肿、昏迷、呼吸麻痹或脑水肿，全血胆碱酯酶活性在30% 以下。可引起迟发性神经病。</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慢性影响：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可有神经衰弱综合征、腹胀、多汗、肌纤维震颤等，全血胆碱酯酶活性降至50%以下。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磷胺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13171-21-6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立即脱去污染的衣着，用肥皂水及流动清水彻底冲洗污染的皮肤、头发、指甲等。就医。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分开眼睑，用流动清水或生理盐水冲洗。就医。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饮足量温水，催吐（仅限于清醒者）。口服活性碳。就医。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解毒剂：阿托品、胆碱酯酶复能剂。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遇明火、高热可燃。受热分解，放出氮、磷的氧化物等毒性气体。在碱液中能迅速分解。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尽可能机械化、自动化。操作人员必须经过专门培训，严格遵守操作规程。建议操作人员佩戴自吸过滤式防毒面具（全面罩），穿胶布防毒衣，戴橡胶手套。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储存于阴凉、通风良好的库房内。远离火种、热源。应与氧化剂、碱类、食用化学品分开存放，切忌混储。配备相应品种和数量的消防器材。储区应备有泄漏应急处理设备和合适的收容材料。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PC-TWA：0.02mg/m3[皮]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全血胆碱酯酶活性（校正值）：</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原基础值或参考值的70%（采样时间：开始接触后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的3 个月内），原基础值或参考值的50%（采样时间：</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持续接触3 个月后，任意时间）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酶化学法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血中胆碱酯酶活性的分光光度测定方法——羟胺三氯化铁法；血中胆碱酯酶活性的分光光度测定方法——硫代乙酰胆碱-联硫代双硝基苯甲酸法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纯品为无色油状液体，工业品为棕色油状液体。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160～162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70(25℃)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与水混溶，易溶于乙醇、乙醚、丙酮、等多数有机溶剂。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与强氧化剂、碱类等禁配物发生反应。在碱液中能迅速分解。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强氧化剂、碱类。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一氧化氧化磷、氯化氢、氮氧化物。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 mg/kg(大鼠经口)，125 mg/kg(大鼠经皮)，6 mg/kg(小鼠经口)，70mg/kg(兔经口)，80 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135mg/m3(大鼠吸入，4h)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微生物致突变；鼠伤寒沙门氏菌5μg/皿。细胞遗传学分析：人淋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巴细胞1900μg/L。DNA 损伤：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小鼠成纤维细胞80 mg/L/24H。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大鼠经口最低中毒剂量(TDLo)：5400mg/kg，80 周(连续)，疑致肿瘤剂，致血管和甲状腺肿瘤。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小鼠经口最低中毒剂量(TDLo)：5mg/kg(孕7 天)， 致植入前的死亡率升高，影响每窝胎数，致胚胎毒性(如胚胎发育迟缓)。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7.8mg/L(96h)（虹鳟）；3.4mg/L(96h)（蓝鳃太阳鱼）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0.01mg/L(48h)（蚤状溞）</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建议用焚烧法处置。与燃料混合后，再焚烧。焚烧炉排出的气体要通过洗涤器除去。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2902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液态农药，毒性，未另做规定的（磷胺）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有机磷中毒。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