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2-甲基-2-丙醇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2-甲基-2-丙醇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75-65-0</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叔丁醇；三甲基甲醇；2-甲基-2-丙醇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tert-butyl alcohol；trimethyl carbinol；2-methyl-2-propanol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C4H10O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74.14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用于有机合成，制造香精等。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高度易燃液体和蒸气，吸入有害。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易燃液体,类别2急性毒性-吸入,类别4严重眼损伤/眼刺激,类别2特异性靶器官毒性-一次接触,类别3（呼吸道刺激）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高度易燃液体和蒸气，吸入有害，造成严重眼刺激，可能引起呼吸道刺激，可能引起昏昏欲睡或眩晕。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避免吸入蒸气、雾。仅在室外或通风良好处操作。避免接触眼睛、皮肤，操作后彻底清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火灾时，使用抗溶性泡沫、干粉、二氧化碳、砂土灭火。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将患者转移到空气新鲜处，休息，保持利于呼吸的体位。如感觉不适，呼叫中毒控制中心或就医。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如接触眼睛：</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出隐形眼镜。继续冲洗。如果眼睛刺激持续：</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具有刺激和麻醉作用。对眼睛、皮肤、黏膜和呼吸道有刺激作用。中毒表现可有头痛、恶心、眩晕。涂于皮肤引起轻度充血和红斑。</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叔丁醇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75-65-0</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用抗溶性泡沫、干粉、二氧化碳、砂土灭火。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与氧化剂能发生强烈反应。蒸气比空气重，沿地面扩散并易积存于低洼处，遇火源会着火回燃。燃烧生成有害的一氧化碳。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小量泄漏：用砂土或其他不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构筑围堤或挖坑收容。用抗溶性泡沫覆盖，减少蒸发。喷水雾能减少蒸发，但不能降低泄漏物在有限空间内的易燃性。用防爆泵转移至槽车或专用收集器内。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全面通风。操作人员必须经过专门培训，严格遵守操作规程。建议操作人员佩戴过滤式防毒面具（半面罩），戴化学安全防护眼镜，穿防静电工作服。远离火种、热源。工作场所严禁吸烟。使用防爆型的通风系统和设备。防止蒸气泄漏到工作场所空气中。避免与氧化剂、酸类接触。灌装时应控制流速，且有接地装置，防止静电积聚。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37℃。保持容器密封。应与氧化剂、酸类等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TLV-TWA：1000ppm</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生产过程密闭，全面通风。提供安全淋浴和洗眼设备。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空气中浓度超标时，应该佩戴过滤式防毒面具(半面罩)。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戴一般作业防护手套。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无色结晶或液体，有樟脑气味。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82.4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0.784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4.1(20℃)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2630.5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3.97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0.35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11（CC）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470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溶于水、乙醇、乙醚。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酸类、酸酐、强氧化剂。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2743mg/kg（大鼠经口）；&gt;2g/kg（兔经皮）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&gt;10000ppm（大鼠吸入，4h）</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家兔经皮：500μL（24h），轻度刺激。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家兔经眼100μL（24h），重度刺激。</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好氧生物降解（h）：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677～4320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厌氧生物降解（h）：</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2400～12000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水中光氧化半衰期（h）：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18480～5.70×108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空气中光氧化半衰期（h）：</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59～590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1120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丁醇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酸类、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