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芐胺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芐胺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100-46-9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苄胺；苯甲胺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benzylamine；α-amino 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C7H9N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用作染料、药品及聚合物的化学合成中间体。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急性毒性-经口,类别4急性毒性-经皮,类别4皮肤腐蚀/刺激,类别1B严重眼损伤/眼刺激,类别1危害水生环境-急性危害,类别3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吞咽有害，皮肤接触有害，造成严重的皮肤灼伤和眼损伤，对水生生物有害。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作业场所不得进食、饮水或吸烟。避免吸入蒸气、雾。避免接触眼睛、皮肤，操作后彻底清洗。戴防护手套、穿防护服、戴防护眼镜、防护面罩。禁止排入环境。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立即脱掉所有被污染的衣服。用水冲洗皮肤、淋浴。污染的衣服须洗净后方可重新使用。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对身体有害。对眼睛、黏膜、呼吸道及皮肤有强烈刺激作用。吸入后可能因喉、支气管的炎症、痉挛、水肿，化学性肺炎或肺水肿而致死。中毒表现有烧灼感、咳嗽、喘息、喉炎、气短、头痛、恶心和呕吐。眼和皮肤接触引起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苄胺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100-46-9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防静电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小量泄漏：用干燥的砂土或其它不燃材料吸收或覆盖，收集于容器中。也可以用大量水冲洗，洗水稀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释后放入废水系统。大量泄漏：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淡琥珀色液体。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1.60（90℃）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1.78（21.2℃）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4058.7 (101.3kPa,20℃)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与水混溶，可混溶于乙醇、乙醚。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与强氧化剂等禁配物接触，有发生火灾和爆炸的危险。与酰基氯、酸类、酸酐、二氧化碳发生反应。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酸类、酰基氯、酸酐、强氧化剂、二氧化碳。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600mg/kg(小鼠腹膜腔)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60mg/L(48h)（大型溞）</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50mg/L(72h)(REACH)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液态胺，腐蚀性，未另作规定的或液态聚胺，腐蚀性，未另作规定的（苄胺）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