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一氯丙酮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一氯丙酮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78-95-5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氯丙酮；一氯丙酮；1-氯-2-丙酮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chloroacetone；acetonyl chloride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C3H5ClO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92.524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用作杀虫剂、催泪剂，也用于制药物等。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高度易燃液体和蒸气，吞咽会中毒，皮肤接触会致命，吸入致命，造成严重的皮肤灼伤和眼损伤。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经口，类别3急性毒性-经皮，类别2急性毒性-吸入，类别2皮肤腐蚀/刺激，类别1严重眼损伤/眼刺激，类别1特异性靶器官毒性-一次接触，类别1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高度易燃液体和蒸气，吞咽会中毒，皮肤接触会致命，吸入致命，造成严重的皮肤灼伤和眼损伤，对器官造成损害，对水生生物毒性非常大并具有长期持续影响。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避免接触眼睛、皮肤，操作后彻底清洗。作业场所不得进食、饮水或吸烟。避免接触眼睛、皮肤或衣服。避免吸入蒸气、雾。仅在室外或通风良好处操作。戴呼吸防护器具。戴防护手套、穿防护服、戴防护眼镜、防护面罩。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立即脱掉所有被污染的衣服。用水冲洗皮肤、淋浴。立即呼叫中毒控制中心或就医。污染的衣服须洗净后方可重新使用。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用水细心地冲洗数分钟。如带隐形眼镜并可方便地取出，则取出隐形眼镜。继续冲洗。立即呼叫中毒控制中心或就医。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漱口。不要催吐。立即呼叫中毒控制中心或就医。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本品在日光的作用下分解而生成催泪性极强的气体，是一种催泪性毒剂。误服与皮肤接触、吸入会中毒。眼和皮肤接触引起灼伤。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氯丙酮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78-95-5</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立即脱去污染的衣着，用大量流动清水彻底冲洗至少15min。就医。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用水漱口，禁止催吐。给饮牛奶或蛋清。就医。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遇明火、高热易燃。与氧化剂接触猛烈反应。受热分解能放出剧毒的光气。若遇高热，容器内压增大，有开裂和爆炸的危险。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构筑围堤或挖坑收容。用粉煤灰或石灰粉吸收大量液体。用泡沫覆盖，减少蒸发。喷水雾能减少蒸发，但不能降低泄漏物在有限空间内的易燃性。用防爆泵转移至槽车或专用收集器内。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库房内。远离火种、热源。库温不宜超过30℃。保持容器密封。应与氧化剂、碱类、食用化学品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MAC：4mg/m3[皮]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TLV-C：1ppm[皮]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严加密闭，提供充分的局部排风和全面通风。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空气中浓度较高时，应该佩戴过滤式防毒面具(半面罩)。紧急事态抢救或逃生时，建议佩戴空气呼吸器。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 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-44.5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27.78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溶于水，溶于乙醇、乙醚、氯仿。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与强氧化剂、强碱等禁配物接触，有发生火灾和爆炸的危险。受热分解能放出剧毒的光气。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氯化氢、光气。</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100 mg/kg(大鼠经口)，141 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262ppm(大鼠吸入，1h)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微生物致突变：鼠伤寒沙门氏菌6 mg/L 。性染色体缺失和不分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离：</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黑腹果蝇吸入100 pph（6min）。</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0.6mg/L(48h)（圆腹雅罗鱼，半静态）</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 301D，不易快速生物降解。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氯丙酮，稳定的</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Ⅰ</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运输时所用的槽（罐）车应有接地链，槽内可设孔隔板以减少震荡产生静电。中途停留时应远离火种、热源。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