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1,2,4,5-四甲苯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1,2,4,5-四甲苯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95-93-2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1,2,4,5-四甲苯；均四甲苯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1,2,4,5-tetramethylbenzene；sym-tetramethylbenzene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C10H14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134.221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用于有机合成、增塑剂，及制均苯四甲酸二酐。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易燃固体。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易燃固体,类别1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易燃固体。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远离热源、火花、明火、热表面。禁止吸烟。容器和接收设备接地连接。使用防爆电器、通风、照明设备。戴防护手套、防护眼镜、防护面罩。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本品有轻度刺激作用。</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1,2,4,5-四甲苯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95-93-2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遇明火、高热易燃。与氧化剂接触猛烈反应。粉体与空气可形成爆炸性混合物, 当达到一定浓度时, 遇火星会发生爆炸。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隔离泄漏污染区，限制出入。消除所有点火源。建议应急处理人员戴防尘口罩，穿防静电服。禁止接触或跨越泄漏物。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小量泄漏：用洁净的铲子收集泄漏物，置于干净、干燥、盖子较松的容器中，将容器移离泄漏区。大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用水润湿，并筑堤收容。防止泄漏物进入水体、下水道、地下室或有限空间。</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操作人员必须经过专门培训，严格遵守操作规程。建议操作人员佩戴自吸过滤式防尘口罩，戴化学安全防护眼镜，穿防毒物渗透工作服，戴防化学品手套。远离火种、热源，工作场所严禁吸烟。使用防爆型的通风系统和设备。避免产生粉尘。避免与氧化剂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储存于阴凉、通风的库房。远离火种、热源。库温不宜超过35℃。应与氧化剂分开存放，切忌混储。采用防爆型照明、通风设施。禁止使用易产生火花的机械设备和工具。储区应备有合适的材料收容泄漏物。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空气中粉尘浓度较高时，建议佩戴过滤式防尘呼吸器。</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戴防化学品手套。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白色或无色结晶，有类似樟脑的气味。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79.2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196.8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21.3（140℃）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4～4.24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74（开杯）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402.5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不溶于水，溶于乙醇、乙醚、苯。</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与强氧化剂、酸类、卤素等禁配物接触，有发生火灾和爆炸的危险。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强氧化剂、酸类、卤素等。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6700mg/kg(大鼠经口)，3400mg/kg(小鼠经口)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1325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有机易燃固体，未另作规定的（1,2,4,5-四甲苯）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装运本品的车辆排气管须有阻火装置。运输过程中要确保容器不泄漏、不倒塌、不坠落、不损坏。严禁与氧化剂、等混装混运。运输途中应防曝晒、雨淋，防高温。中途停留时应远离火种、热源。车辆运输完毕应进行彻底清扫。铁路运输时要禁止溜放。</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