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六氯丙酮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六氯丙酮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116-16-5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六氯丙酮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hexachloroacetone；hexachloro-2-propanone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C3Cl6O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264.75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用作除草剂、干燥剂。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吸入、摄入或经皮肤吸收后对身体有害，对眼睛、皮肤、黏膜和上呼吸道有刺激作用。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六氯丙酮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116-16-5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遇明火、高热可燃。与氧化剂可发生反应。受高热分解放出有毒的气体。蒸气比空气重，沿地面扩散并易积存于低洼处，遇火源会着火回燃。若遇高热，容器内压增大，有开裂和爆炸的危险。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蒸气泄漏到工作场所空气中。操作人员必须经过专门培训，严格遵守操作规程。建议操作人员佩戴自吸过滤式防毒面具（半面罩），戴化学安全防护眼镜，穿防毒物渗透工作服，戴橡胶手套。远离火种、热源，工作场所严禁吸烟。使用防爆型的通风系统和设备。在清除液体和蒸气前不能进行焊接、切割等作业。避免产生烟雾。避免与氧化剂、碱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储存于阴凉、通风的库房。远离火种、热源。防止阳光直射。保持容器密封。应与氧化剂、碱类分开存放，切忌混储。配备相应品种和数量的消防器材。储区应备有泄漏应急处理设备和合适的收容材料。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1.743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&gt;100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微溶于水，溶于酮。</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1300 mg/kg(大鼠经口)，2980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360ppm(大鼠吸入，6h)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微生物致突变：鼠伤寒沙门氏菌100ng/皿。DNA 修复：大肠杆菌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700μg/皿。基因转换和有丝分裂重组：</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酿酒酵母10mg/L。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六氯丙酮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