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67-64-1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丙酮；二甲基(甲)酮;阿西通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acetone；Dimethyl ketone；2-propanone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C3H6O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是基本的有机原料和低沸点溶剂。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易燃液体,类别2严重眼损伤/眼刺激,类别2特异性靶器官毒性-一次接触,类别3（麻醉效应）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高度易燃液体和蒸气，造成严重眼刺激，可能引起昏昏欲睡或眩晕。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火灾时，使用抗溶性泡沫、二氧化碳、干粉、砂土灭火。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主要表现为对中枢神经系统的麻醉作用，出现乏力、恶心、头痛、头晕、易激动。重者发生呕吐、气急、痉挛，甚至昏迷。对眼、鼻、喉有刺激性。口服后，先有口唇、咽喉有烧灼感，后出现口干、呕吐、昏迷、酸中毒和酮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长期接触该品出现眩晕、灼烧感、咽炎、支气管炎、乏力、易激动等。皮肤长期反复接触可致皮炎。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67-64-1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蒸气比空气重，沿地面扩散并易积存于低洼处，遇火源会着火回燃。若遇高热，容器内压增大，有开裂和爆炸的危险。燃烧生成有害的一氧化碳。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安全防护眼镜，穿防静电工作服，戴橡胶耐油手套。远离火种、热源。工作场所严禁吸烟。使用防爆型的通风系统和设备。防止蒸气泄漏到工作场所空气中。避免与氧化剂、还原剂、碱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远离火种、热源。库温不宜超过29℃。保持容器密封。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PC-TWA：300 mg/m3；PC-STEL：450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TLV-TWA：500ppm；TLV-STEL：750ppm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一般不需要特殊防护，高浓度接触时可戴安全防护眼镜。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工作现场严禁吸烟。注意个人清洁卫生。避免长期反复接触。</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无色透明易流动液体，有芳香气味，极易挥发。</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1788.7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-18（CC）;-9.4(OC)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0.32（20℃）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与水混溶，可混溶于乙醇、乙醚、氯仿、油类、烃类等多数有机溶剂。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5800mg/kg（大鼠经口）；5340mg/kg（兔经口）；8000mg/kg（兔经皮）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家兔经皮：395mg，轻度刺激（开放性刺激试验）。</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家兔经眼：20mg ，重度刺激。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细胞遗传学分析：酿酒酵母菌200mmol/ 管。性染色体缺失和不分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离：</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小鼠吸入12 g/L。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大鼠7.22g/m3，每天8h 吸入染毒，共20 个月，未发现临床及组织病理学改变。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4740～6330mg/L(96h)（虹鳟鱼）；2100mg/L(48h)（卤虫）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5000mg/L(24h)（金鱼）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8600mg/L(5min)（发光菌，Microtox 测试）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OECD301C，28 天降解96%-100%，易快速生物降解。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水相光解半衰期（h）：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9.92×104～3.97×106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279～2790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本品属第三类易制毒化学品，托运时，须持有运出地县级人民政府发给的备案证明。</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18218-2009《危险化学品重大危险源辨识》（表1）：列入。类别：易燃液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体，临界量（t）：</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