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1,1,3,3-四氯丙酮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1,1,3,3-四氯丙酮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632-21-3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1,1,3,3-四氯丙酮；1,1,3,3-四氯-2-丙酮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1,1,3,3-tetrachloroacetone；1,1,3,3-tetrachloro-2-propanone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C3H2Cl4O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195.859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用于有机合成。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吞咽会中毒，皮肤接触会致命。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急性毒性-经口，类别3急性毒性-经皮，类别2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吞咽会中毒，皮肤接触会致命。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避免接触眼睛、皮肤，操作后彻底清洗。作业场所不得进食、饮水或吸烟。避免接触眼睛、皮肤或衣服。戴防护手套、穿防护服。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用大量肥皂水和水轻轻地清洗。立即呼叫中毒控制中心或就医。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立即呼叫中毒控制中心或就医。漱口。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上锁保管。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可燃，其蒸气与空气混合，能形成爆炸性混合物。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有毒。吸入、摄入或经皮肤吸收后会中毒。受热分解放出有毒的氯气烟雾。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对环境可能有害。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1,1,3,3-四氯丙酮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632-21-3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    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立即脱去污染的衣着，用流动清水彻底冲洗。就医。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    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饮适量温水，催吐（仅限于清醒者）。就医。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用雾状水、泡沫、干粉、二氧化碳、砂土灭火。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遇明火、高热可燃。与氧化剂可发生反应。受高热分解放出有毒的气体。若遇高热，容器内压增大，有开裂和爆炸的危险。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消防人员须佩戴防毒面具、穿全身消防服，在上风向灭火。尽可能将容器从火场移至空旷处。喷水保持火场容器冷却，直至灭火结束。处在火场中的容器若已变色或从安全泄压装置中产生声音，必须马上撤离。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液体流动和蒸气扩散的影响区域划定警戒区，无关人员从侧风、上风向撤离至安全区。消除所有点火源。建议应急处理人员戴防毒面具,穿防毒服。穿上适当的防护服前严禁接触破裂的容器和泄漏物。尽可能切断泄漏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防止泄漏物进入水体、下水道、地下室或有限空间。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小量泄漏：用干燥的砂土或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其它不燃材料吸收或覆盖，收集于容器中。大量泄漏：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构筑围堤或挖坑收容。用泵转移至槽车或专用收集器内。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局部排风。防止蒸气泄漏到工作场所空气中。操作人员必须经过专门培训，严格遵守操作规程。建议操作人员佩戴过滤式防毒面具（半面罩），戴化学安全防护眼镜，穿防毒物渗透工作服，戴乳胶手套。远离火种、热源，工作场所严禁吸烟。使用防爆型的通风系统和设备。在清除液体和蒸气前不能进行焊接、切割等作业。避免产生烟雾。避免与氧化剂接触。配备相应品种和数量的消防器材及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储存于阴凉、通风的库房。远离火种、热源。防止阳光直射。保持容器密封。应与氧化剂、食用化学品分开存放，切忌混储。配备相应品种和数量的消防器材。储区应备有泄漏应急处理设备和合适的收容材料。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密闭操作，局部排风。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空气中浓度较高时，应该佩戴过滤式防毒面具(半面罩)。紧急事态抢救或逃生时，建议佩戴空气呼吸器。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戴化学安全防护眼镜。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穿防毒物渗透工作服。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液体，有强烈的辛辣气味。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48～49(水合物)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180～182(95.5kPa)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1.624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易溶于苯、丙二醇、醚。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与强氧化剂等禁配物发生反应。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强氧化剂。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氯化氢。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176 mg/kg(小鼠经口)，80 mg/kg(兔经皮)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微生物致突变：鼠伤寒沙门氏菌50μg/皿。微生物致突变：酿酒酵母1μg/L。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兔孕后6～18 天经口给予最低中毒剂量（TDLo）130 mg/kg，致肌肉骨骼系统发育畸形。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根据国家和地方有关法规的要求处置。或与厂商或制造商联系，确定处置方法。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2810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有机毒性液体，未另做规定的（1,1,3,3-四氯丙酮）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6.1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Ⅱ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否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运输前应先检查包装容器是否完整、密封，运输过程中要确保容器不泄漏、不倒塌、不坠落、不损坏。严禁与氧化剂、等混装混运。船运时，应与机舱、电源、火源等部位隔离。公路运输时要按规定路线行驶。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