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2,6-二叔丁基对甲酚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2,6-二叔丁基对甲酚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128-37-0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2,6-二叔丁基对甲酚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2,6-di-tert-butyl-p-cresol；2,6-di-tert-butyl-4-methylphenol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C15H24O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220.35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用作石油制品、燃料、橡胶、塑料、食品、饲料、药品等的抗氧剂。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禁止排入环境。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事故响应：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本品对眼睛、皮肤、粘膜和上呼吸道有刺激作用，长时间的接触对眼睛有害并引起头痛、恶心和眩晕。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2,6-二叔丁基对甲酚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128-37-0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脱离现场至空气新鲜处。如呼吸困难，给输氧。就医。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立即脱去污染的衣着，用肥皂水和清水彻底冲洗皮肤。如有不适感，就医。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提起眼睑，用流动清水或生理盐水冲洗。如有不适感，就医。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饮足量温水，催吐。就医。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遇明火、高热、或与氧化剂接触能燃烧, 并散发出有毒气体。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人员必须经过专门培训，严格遵守操作规程。建议操作人员佩戴自吸过滤式防尘口罩，戴化学安全防护眼镜，穿防毒物渗透工作服，戴橡胶手套。远离火种、热源，工作场所严禁吸烟。使用防爆型的通风系统和设备。避免产生粉尘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储存于阴凉、通风的库房。远离火种、热源。应与氧化剂、碱类等分开存放，切忌混储。配备相应品种和数量的消防器材。储区应备有合适的材料收容泄漏物。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265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1.05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7.6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0.0013(20℃)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4.17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470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不溶于水，溶于甲醇、乙醇、苯、石油醚等。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与氧化剂接触可能发生燃烧。与碱类、酰基氯、酸酐、铜及其合金等禁配物发生反应。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氧化剂、碱类、酰基氯、酸酐、铜及其合金。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大剂量本品引起兔的钠、钾和水代谢明显紊乱。往往因缺钾造成死亡。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890 mg/kg(大鼠经口),650（小鼠经口），2100（兔经口）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动物的急性中毒症状有流涎、轻度瞳孔缩小、不安定、兴奋增强、腹泻和震颤，类似副交感神经兴奋药物的中毒。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建议用焚烧法处置。在能利用的地方重复使用容器或在规定场所掩埋。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3077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对环境有害的固态物质，未另作规定的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起运时包装要完整，装载应稳妥。运输过程中要确保容器不泄漏、不倒塌、不坠落、不损坏。严禁与氧化剂、碱类、食用化学品、等混装混运。运输途中应防曝晒、雨淋，防高温。车辆运输完毕应进行彻底清扫。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